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C6" w:rsidRPr="00CB6BC6" w:rsidRDefault="00CB6BC6" w:rsidP="00CB6BC6">
      <w:r w:rsidRPr="00CB6BC6">
        <w:rPr>
          <w:noProof/>
          <w:lang w:val="nl-NL" w:eastAsia="nl-NL"/>
        </w:rPr>
        <w:drawing>
          <wp:inline distT="0" distB="0" distL="0" distR="0" wp14:anchorId="2E1B8E06" wp14:editId="72243F76">
            <wp:extent cx="5762625" cy="1333500"/>
            <wp:effectExtent l="0" t="0" r="9525" b="0"/>
            <wp:docPr id="1" name="Picture 1" descr="mila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n_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333500"/>
                    </a:xfrm>
                    <a:prstGeom prst="rect">
                      <a:avLst/>
                    </a:prstGeom>
                    <a:noFill/>
                    <a:ln>
                      <a:noFill/>
                    </a:ln>
                  </pic:spPr>
                </pic:pic>
              </a:graphicData>
            </a:graphic>
          </wp:inline>
        </w:drawing>
      </w:r>
    </w:p>
    <w:p w:rsidR="00CB6BC6" w:rsidRPr="00CB6BC6" w:rsidRDefault="00CB6BC6" w:rsidP="00CB6BC6"/>
    <w:p w:rsidR="00CB6BC6" w:rsidRPr="00CB6BC6" w:rsidRDefault="00CB6BC6" w:rsidP="00CB6BC6"/>
    <w:p w:rsidR="00CB6BC6" w:rsidRPr="00CB6BC6" w:rsidRDefault="00CB6BC6" w:rsidP="00CB6BC6">
      <w:r w:rsidRPr="00CB6BC6">
        <w:t>PRESS RELEASE</w:t>
      </w:r>
    </w:p>
    <w:p w:rsidR="00CB6BC6" w:rsidRPr="00CB6BC6" w:rsidRDefault="00CB6BC6" w:rsidP="00CB6BC6">
      <w:r w:rsidRPr="00CB6BC6">
        <w:t>European Association of Urology (EAU)</w:t>
      </w:r>
    </w:p>
    <w:p w:rsidR="00CB6BC6" w:rsidRPr="00CB6BC6" w:rsidRDefault="00CB6BC6" w:rsidP="00CB6BC6">
      <w:r w:rsidRPr="00CB6BC6">
        <w:t>28th Annual EAU Congress</w:t>
      </w:r>
    </w:p>
    <w:p w:rsidR="00CB6BC6" w:rsidRPr="00CB6BC6" w:rsidRDefault="007F3A0B" w:rsidP="00CB6BC6">
      <w:r>
        <w:t>For immediate release</w:t>
      </w:r>
    </w:p>
    <w:p w:rsidR="00CB6BC6" w:rsidRPr="00CB6BC6" w:rsidRDefault="00CB6BC6" w:rsidP="00EB25B0">
      <w:pPr>
        <w:rPr>
          <w:b/>
          <w:sz w:val="28"/>
          <w:szCs w:val="28"/>
        </w:rPr>
      </w:pPr>
    </w:p>
    <w:p w:rsidR="00C6756E" w:rsidRDefault="007F3A0B" w:rsidP="00EB25B0">
      <w:pPr>
        <w:rPr>
          <w:b/>
          <w:sz w:val="28"/>
          <w:szCs w:val="28"/>
        </w:rPr>
      </w:pPr>
      <w:r>
        <w:rPr>
          <w:b/>
          <w:sz w:val="28"/>
          <w:szCs w:val="28"/>
        </w:rPr>
        <w:t>Genetic testing may be used to identify BPH patients with increased risk of prostate cancer</w:t>
      </w:r>
    </w:p>
    <w:p w:rsidR="007F3A0B" w:rsidRPr="00CB6BC6" w:rsidRDefault="007F3A0B" w:rsidP="00EB25B0"/>
    <w:p w:rsidR="00F2596F" w:rsidRDefault="007F3A0B" w:rsidP="00EB25B0">
      <w:r>
        <w:t>Milan</w:t>
      </w:r>
      <w:r w:rsidR="00CB6BC6" w:rsidRPr="00CB6BC6">
        <w:t xml:space="preserve">, </w:t>
      </w:r>
      <w:r w:rsidR="00CB6BC6" w:rsidRPr="00CB6BC6">
        <w:rPr>
          <w:color w:val="000000" w:themeColor="text1"/>
        </w:rPr>
        <w:t>1</w:t>
      </w:r>
      <w:r>
        <w:rPr>
          <w:color w:val="000000" w:themeColor="text1"/>
        </w:rPr>
        <w:t>9</w:t>
      </w:r>
      <w:r w:rsidR="00CB6BC6" w:rsidRPr="00CB6BC6">
        <w:rPr>
          <w:color w:val="000000" w:themeColor="text1"/>
        </w:rPr>
        <w:t xml:space="preserve"> March 2013</w:t>
      </w:r>
      <w:r>
        <w:rPr>
          <w:color w:val="000000" w:themeColor="text1"/>
        </w:rPr>
        <w:t xml:space="preserve"> </w:t>
      </w:r>
      <w:r>
        <w:t>–</w:t>
      </w:r>
      <w:r w:rsidR="00EB25B0" w:rsidRPr="00CB6BC6">
        <w:t xml:space="preserve"> </w:t>
      </w:r>
      <w:r w:rsidR="00F2596F">
        <w:t xml:space="preserve">Patients with </w:t>
      </w:r>
      <w:r w:rsidR="00F2596F">
        <w:t xml:space="preserve">benign prostatic hyperplasia </w:t>
      </w:r>
      <w:r w:rsidR="00F2596F">
        <w:t>(</w:t>
      </w:r>
      <w:r w:rsidR="00F2596F" w:rsidRPr="00F2596F">
        <w:t>BPH</w:t>
      </w:r>
      <w:r w:rsidR="00F2596F">
        <w:t>)</w:t>
      </w:r>
      <w:r w:rsidR="00F2596F" w:rsidRPr="00F2596F">
        <w:t xml:space="preserve"> carrying </w:t>
      </w:r>
      <w:r w:rsidR="00F2596F">
        <w:t>prostate cancer (</w:t>
      </w:r>
      <w:proofErr w:type="spellStart"/>
      <w:r w:rsidR="00F2596F">
        <w:t>PCa</w:t>
      </w:r>
      <w:proofErr w:type="spellEnd"/>
      <w:r w:rsidR="00F2596F">
        <w:t xml:space="preserve">) </w:t>
      </w:r>
      <w:r w:rsidR="00F2596F" w:rsidRPr="00F2596F">
        <w:t xml:space="preserve">a risk alleles are </w:t>
      </w:r>
      <w:r w:rsidR="00F2596F">
        <w:t xml:space="preserve">a </w:t>
      </w:r>
      <w:r w:rsidR="00F2596F" w:rsidRPr="00F2596F">
        <w:t xml:space="preserve">potential target population for </w:t>
      </w:r>
      <w:proofErr w:type="spellStart"/>
      <w:r w:rsidR="00F2596F">
        <w:t>PCa</w:t>
      </w:r>
      <w:proofErr w:type="spellEnd"/>
      <w:r w:rsidR="00F2596F">
        <w:t xml:space="preserve"> screening and follow-up, </w:t>
      </w:r>
      <w:r>
        <w:t>according to</w:t>
      </w:r>
      <w:r w:rsidR="00F2596F">
        <w:t xml:space="preserve"> a</w:t>
      </w:r>
      <w:r>
        <w:t xml:space="preserve"> study</w:t>
      </w:r>
      <w:r w:rsidR="00F2596F">
        <w:t>, which was presented yesterday at the 28th Annual EAU Congress in Milan.</w:t>
      </w:r>
      <w:r>
        <w:t xml:space="preserve"> </w:t>
      </w:r>
    </w:p>
    <w:p w:rsidR="00F2596F" w:rsidRDefault="00F2596F" w:rsidP="00EB25B0"/>
    <w:p w:rsidR="00337649" w:rsidRPr="00CB6BC6" w:rsidRDefault="00F2596F" w:rsidP="00EB25B0">
      <w:r>
        <w:t>The study</w:t>
      </w:r>
      <w:r w:rsidR="007F3A0B">
        <w:t xml:space="preserve"> aimed to </w:t>
      </w:r>
      <w:r w:rsidR="007F3A0B" w:rsidRPr="007F3A0B">
        <w:t xml:space="preserve">evaluate </w:t>
      </w:r>
      <w:r w:rsidR="007F3A0B">
        <w:t xml:space="preserve">the </w:t>
      </w:r>
      <w:r w:rsidR="007F3A0B" w:rsidRPr="007F3A0B">
        <w:t xml:space="preserve">genetic </w:t>
      </w:r>
      <w:r w:rsidR="007F3A0B">
        <w:t>predisposition of</w:t>
      </w:r>
      <w:r w:rsidR="007F3A0B" w:rsidRPr="007F3A0B">
        <w:t xml:space="preserve"> patients</w:t>
      </w:r>
      <w:r w:rsidR="007F3A0B">
        <w:t xml:space="preserve"> with</w:t>
      </w:r>
      <w:r w:rsidR="007F3A0B" w:rsidRPr="007F3A0B">
        <w:t xml:space="preserve"> </w:t>
      </w:r>
      <w:r>
        <w:t>BPH</w:t>
      </w:r>
      <w:r w:rsidR="007F3A0B">
        <w:t xml:space="preserve"> to </w:t>
      </w:r>
      <w:r w:rsidR="007F3A0B" w:rsidRPr="007F3A0B">
        <w:t xml:space="preserve">developing </w:t>
      </w:r>
      <w:r w:rsidR="007F3A0B">
        <w:t>prostate cancer</w:t>
      </w:r>
      <w:r>
        <w:t>, with</w:t>
      </w:r>
      <w:r>
        <w:t xml:space="preserve"> findings suggest</w:t>
      </w:r>
      <w:r>
        <w:t>ing</w:t>
      </w:r>
      <w:r>
        <w:t xml:space="preserve"> that genetic testing </w:t>
      </w:r>
      <w:r>
        <w:t>may offer</w:t>
      </w:r>
      <w:r>
        <w:t xml:space="preserve"> a new tool to identify BPH patients with increased risk to develop </w:t>
      </w:r>
      <w:proofErr w:type="spellStart"/>
      <w:r>
        <w:t>PrCa</w:t>
      </w:r>
      <w:proofErr w:type="spellEnd"/>
      <w:r>
        <w:t>.</w:t>
      </w:r>
    </w:p>
    <w:p w:rsidR="007F3A0B" w:rsidRDefault="007F3A0B" w:rsidP="007F3A0B"/>
    <w:p w:rsidR="007F3A0B" w:rsidRDefault="00F2596F" w:rsidP="007F3A0B">
      <w:r>
        <w:t>“</w:t>
      </w:r>
      <w:r>
        <w:t xml:space="preserve">To our knowledge this is the first study to evaluate genetic predisposition </w:t>
      </w:r>
      <w:r>
        <w:t xml:space="preserve">in BPH patients developing </w:t>
      </w:r>
      <w:proofErr w:type="spellStart"/>
      <w:r>
        <w:t>PrCa</w:t>
      </w:r>
      <w:proofErr w:type="spellEnd"/>
      <w:r>
        <w:t>,” write the authors.</w:t>
      </w:r>
    </w:p>
    <w:p w:rsidR="007F3A0B" w:rsidRDefault="007F3A0B" w:rsidP="007F3A0B"/>
    <w:p w:rsidR="00F2596F" w:rsidRDefault="007F3A0B" w:rsidP="007F3A0B">
      <w:r>
        <w:t>Benign prostatic hyperplasia and prostate cancer are common diseases affecting the prostate gland in aging men. Although BPH often explains the increase of PSA, the patients with elevated PSA often develop</w:t>
      </w:r>
      <w:r w:rsidR="00F2596F">
        <w:t xml:space="preserve"> prostate cancer</w:t>
      </w:r>
      <w:r>
        <w:t xml:space="preserve"> in follow-up after initial benign histology in prostate biopsy. </w:t>
      </w:r>
    </w:p>
    <w:p w:rsidR="00F2596F" w:rsidRDefault="00F2596F" w:rsidP="007F3A0B"/>
    <w:p w:rsidR="00F2596F" w:rsidRDefault="00F2596F" w:rsidP="007F3A0B">
      <w:r>
        <w:t>The researchers were looking to find</w:t>
      </w:r>
      <w:r w:rsidR="007F3A0B">
        <w:t xml:space="preserve"> new potential tools </w:t>
      </w:r>
      <w:r>
        <w:t xml:space="preserve">which would help </w:t>
      </w:r>
      <w:r w:rsidR="007F3A0B">
        <w:t>to id</w:t>
      </w:r>
      <w:r>
        <w:t xml:space="preserve">entify patients with elevated </w:t>
      </w:r>
      <w:proofErr w:type="spellStart"/>
      <w:r>
        <w:t>P</w:t>
      </w:r>
      <w:r w:rsidR="007F3A0B">
        <w:t>Ca</w:t>
      </w:r>
      <w:proofErr w:type="spellEnd"/>
      <w:r w:rsidR="007F3A0B">
        <w:t xml:space="preserve"> risk among those who undergo biopsy due </w:t>
      </w:r>
      <w:r>
        <w:t xml:space="preserve">to </w:t>
      </w:r>
      <w:proofErr w:type="spellStart"/>
      <w:r w:rsidR="007F3A0B">
        <w:t>rCa</w:t>
      </w:r>
      <w:proofErr w:type="spellEnd"/>
      <w:r w:rsidR="007F3A0B">
        <w:t xml:space="preserve"> suspicion but have histol</w:t>
      </w:r>
      <w:r>
        <w:t xml:space="preserve">ogically confirmed BPH and no </w:t>
      </w:r>
      <w:proofErr w:type="spellStart"/>
      <w:r>
        <w:t>PCa</w:t>
      </w:r>
      <w:proofErr w:type="spellEnd"/>
      <w:r>
        <w:t xml:space="preserve"> in baseline biopsy.</w:t>
      </w:r>
    </w:p>
    <w:p w:rsidR="00F2596F" w:rsidRDefault="00F2596F" w:rsidP="007F3A0B"/>
    <w:p w:rsidR="007F3A0B" w:rsidRDefault="007F3A0B" w:rsidP="007F3A0B">
      <w:r>
        <w:t>We investigated whether the single nucleotide polymorphisms (SNP) previously found to be associate</w:t>
      </w:r>
      <w:r w:rsidR="00F2596F">
        <w:t xml:space="preserve">d to genetic predisposition to </w:t>
      </w:r>
      <w:proofErr w:type="spellStart"/>
      <w:r w:rsidR="00F2596F">
        <w:t>P</w:t>
      </w:r>
      <w:r>
        <w:t>Ca</w:t>
      </w:r>
      <w:proofErr w:type="spellEnd"/>
      <w:r>
        <w:t xml:space="preserve"> could also be used for evaluation </w:t>
      </w:r>
      <w:r w:rsidR="00F2596F">
        <w:t xml:space="preserve">of </w:t>
      </w:r>
      <w:proofErr w:type="spellStart"/>
      <w:r w:rsidR="00F2596F">
        <w:t>P</w:t>
      </w:r>
      <w:r>
        <w:t>Ca</w:t>
      </w:r>
      <w:proofErr w:type="spellEnd"/>
      <w:r>
        <w:t xml:space="preserve"> risk in BPH patients.</w:t>
      </w:r>
    </w:p>
    <w:p w:rsidR="007F3A0B" w:rsidRDefault="007F3A0B" w:rsidP="007F3A0B"/>
    <w:p w:rsidR="00F2596F" w:rsidRDefault="00F2596F" w:rsidP="007F3A0B">
      <w:r>
        <w:t>In the course of the study 262</w:t>
      </w:r>
      <w:r w:rsidR="007F3A0B">
        <w:t xml:space="preserve"> patient</w:t>
      </w:r>
      <w:r>
        <w:t xml:space="preserve">s diagnosed with histologically </w:t>
      </w:r>
      <w:r w:rsidR="007F3A0B">
        <w:t>confirmed BPH and 254 patients originally diagnosed with BPH and l</w:t>
      </w:r>
      <w:r>
        <w:t xml:space="preserve">ater developing </w:t>
      </w:r>
      <w:proofErr w:type="spellStart"/>
      <w:r>
        <w:t>PCa</w:t>
      </w:r>
      <w:proofErr w:type="spellEnd"/>
      <w:r>
        <w:t xml:space="preserve"> were analys</w:t>
      </w:r>
      <w:r w:rsidR="007F3A0B">
        <w:t>ed. These patients were originally examined due to elevated PSA or abnormal digital rectal examination and underwent prostate biopsy confirming BPH in Tampere University Hospital</w:t>
      </w:r>
      <w:r>
        <w:t xml:space="preserve">, </w:t>
      </w:r>
      <w:proofErr w:type="spellStart"/>
      <w:r>
        <w:t>Findland</w:t>
      </w:r>
      <w:proofErr w:type="spellEnd"/>
      <w:r>
        <w:t>,</w:t>
      </w:r>
      <w:r w:rsidR="007F3A0B">
        <w:t xml:space="preserve"> between 1995 and 2004.  </w:t>
      </w:r>
    </w:p>
    <w:p w:rsidR="00F2596F" w:rsidRDefault="00F2596F" w:rsidP="007F3A0B"/>
    <w:p w:rsidR="007F3A0B" w:rsidRDefault="007F3A0B" w:rsidP="007F3A0B">
      <w:r>
        <w:t>The follow-up time was from 7 to 16 years</w:t>
      </w:r>
      <w:r w:rsidR="00F2596F">
        <w:t xml:space="preserve">. The patients diagnosed with </w:t>
      </w:r>
      <w:proofErr w:type="spellStart"/>
      <w:r w:rsidR="00F2596F">
        <w:t>P</w:t>
      </w:r>
      <w:r>
        <w:t>Ca</w:t>
      </w:r>
      <w:proofErr w:type="spellEnd"/>
      <w:r>
        <w:t xml:space="preserve"> within one year after original diagnosis of BPH were not included. The</w:t>
      </w:r>
      <w:r w:rsidR="00F2596F">
        <w:t xml:space="preserve"> </w:t>
      </w:r>
      <w:proofErr w:type="spellStart"/>
      <w:r w:rsidR="00F2596F">
        <w:t>P</w:t>
      </w:r>
      <w:r>
        <w:t>Ca</w:t>
      </w:r>
      <w:proofErr w:type="spellEnd"/>
      <w:r>
        <w:t xml:space="preserve"> diagnoses were confirmed from </w:t>
      </w:r>
      <w:r>
        <w:lastRenderedPageBreak/>
        <w:t>the patient records and from the Finnish Cancer Registry</w:t>
      </w:r>
      <w:r w:rsidR="00F2596F">
        <w:t xml:space="preserve"> and 100</w:t>
      </w:r>
      <w:r>
        <w:t xml:space="preserve"> single nucleotide </w:t>
      </w:r>
      <w:proofErr w:type="spellStart"/>
      <w:r>
        <w:t>polymorfism</w:t>
      </w:r>
      <w:proofErr w:type="spellEnd"/>
      <w:r>
        <w:t xml:space="preserve"> (SNP) mar</w:t>
      </w:r>
      <w:r w:rsidR="00F2596F">
        <w:t xml:space="preserve">kers previously linked to the </w:t>
      </w:r>
      <w:proofErr w:type="spellStart"/>
      <w:r w:rsidR="00F2596F">
        <w:t>P</w:t>
      </w:r>
      <w:r>
        <w:t>Ca</w:t>
      </w:r>
      <w:proofErr w:type="spellEnd"/>
      <w:r>
        <w:t xml:space="preserve"> risk were genotyped.</w:t>
      </w:r>
    </w:p>
    <w:p w:rsidR="007F3A0B" w:rsidRDefault="007F3A0B" w:rsidP="007F3A0B"/>
    <w:p w:rsidR="00F2596F" w:rsidRDefault="007F3A0B" w:rsidP="007F3A0B">
      <w:r>
        <w:t>Ten markers showed statistically significan</w:t>
      </w:r>
      <w:r w:rsidR="00F2596F">
        <w:t xml:space="preserve">t association to </w:t>
      </w:r>
      <w:proofErr w:type="spellStart"/>
      <w:r w:rsidR="00F2596F">
        <w:t>P</w:t>
      </w:r>
      <w:r>
        <w:t>Ca</w:t>
      </w:r>
      <w:proofErr w:type="spellEnd"/>
      <w:r>
        <w:t xml:space="preserve"> risk (OR &gt; 1.4, p&lt;0.05). Marker RS138213197 (HOXB13), which has previousl</w:t>
      </w:r>
      <w:r w:rsidR="00F2596F">
        <w:t xml:space="preserve">y been linked to the familial </w:t>
      </w:r>
      <w:proofErr w:type="spellStart"/>
      <w:r w:rsidR="00F2596F">
        <w:t>P</w:t>
      </w:r>
      <w:r>
        <w:t>Ca</w:t>
      </w:r>
      <w:proofErr w:type="spellEnd"/>
      <w:r>
        <w:t>, showed</w:t>
      </w:r>
      <w:r w:rsidR="00F2596F">
        <w:t xml:space="preserve"> the strongest association to </w:t>
      </w:r>
      <w:proofErr w:type="spellStart"/>
      <w:r w:rsidR="00F2596F">
        <w:t>P</w:t>
      </w:r>
      <w:r>
        <w:t>Ca</w:t>
      </w:r>
      <w:proofErr w:type="spellEnd"/>
      <w:r>
        <w:t xml:space="preserve">. </w:t>
      </w:r>
    </w:p>
    <w:p w:rsidR="00F2596F" w:rsidRDefault="00F2596F" w:rsidP="007F3A0B"/>
    <w:p w:rsidR="007F3A0B" w:rsidRDefault="007F3A0B" w:rsidP="007F3A0B">
      <w:r>
        <w:t>BPH patients carrying this mutation had 4.6 ti</w:t>
      </w:r>
      <w:r w:rsidR="00F2596F">
        <w:t xml:space="preserve">mes higher risk of developing </w:t>
      </w:r>
      <w:proofErr w:type="spellStart"/>
      <w:r w:rsidR="00F2596F">
        <w:t>P</w:t>
      </w:r>
      <w:r>
        <w:t>Ca</w:t>
      </w:r>
      <w:proofErr w:type="spellEnd"/>
      <w:r>
        <w:t xml:space="preserve"> compared to non-carriers (OR 4.56, CI 95% 1.29 - 16.11, p=0,0098). The average PSA levels at baseline biopsy in BPH and </w:t>
      </w:r>
      <w:proofErr w:type="spellStart"/>
      <w:r>
        <w:t>PCa</w:t>
      </w:r>
      <w:proofErr w:type="spellEnd"/>
      <w:r>
        <w:t xml:space="preserve"> groups were 7.3 </w:t>
      </w:r>
      <w:proofErr w:type="spellStart"/>
      <w:r>
        <w:t>μg</w:t>
      </w:r>
      <w:proofErr w:type="spellEnd"/>
      <w:r>
        <w:t xml:space="preserve">/l (range 0.5-44 </w:t>
      </w:r>
      <w:proofErr w:type="spellStart"/>
      <w:r>
        <w:t>μg</w:t>
      </w:r>
      <w:proofErr w:type="spellEnd"/>
      <w:r>
        <w:t xml:space="preserve">/l) and 8.0 </w:t>
      </w:r>
      <w:proofErr w:type="spellStart"/>
      <w:r>
        <w:t>μg</w:t>
      </w:r>
      <w:proofErr w:type="spellEnd"/>
      <w:r>
        <w:t xml:space="preserve">/l (range 2.1 – 75 </w:t>
      </w:r>
      <w:proofErr w:type="spellStart"/>
      <w:r>
        <w:t>μg</w:t>
      </w:r>
      <w:proofErr w:type="spellEnd"/>
      <w:r>
        <w:t>/l) respectively.</w:t>
      </w:r>
      <w:r>
        <w:cr/>
      </w:r>
    </w:p>
    <w:p w:rsidR="006F60EA" w:rsidRDefault="006F60EA" w:rsidP="00CB6BC6">
      <w:bookmarkStart w:id="0" w:name="_GoBack"/>
      <w:bookmarkEnd w:id="0"/>
    </w:p>
    <w:p w:rsidR="00CB6BC6" w:rsidRPr="00CB6BC6" w:rsidRDefault="00CB6BC6" w:rsidP="00CB6BC6">
      <w:pPr>
        <w:jc w:val="center"/>
      </w:pPr>
      <w:r>
        <w:t>###</w:t>
      </w:r>
    </w:p>
    <w:p w:rsidR="006F60EA" w:rsidRPr="00CB6BC6" w:rsidRDefault="006F60EA" w:rsidP="00EC1D9A"/>
    <w:p w:rsidR="006F60EA" w:rsidRPr="00CB6BC6" w:rsidRDefault="006F60EA" w:rsidP="006F60EA"/>
    <w:p w:rsidR="006F60EA" w:rsidRPr="00CB6BC6" w:rsidRDefault="006F60EA" w:rsidP="006F60EA">
      <w:pPr>
        <w:rPr>
          <w:b/>
        </w:rPr>
      </w:pPr>
      <w:r w:rsidRPr="00CB6BC6">
        <w:rPr>
          <w:b/>
        </w:rPr>
        <w:t xml:space="preserve">For further information please contact: </w:t>
      </w:r>
    </w:p>
    <w:p w:rsidR="006F60EA" w:rsidRPr="00C6756E" w:rsidRDefault="006F60EA" w:rsidP="006F60EA">
      <w:pPr>
        <w:rPr>
          <w:lang w:val="nl-NL"/>
        </w:rPr>
      </w:pPr>
      <w:proofErr w:type="spellStart"/>
      <w:r w:rsidRPr="00C6756E">
        <w:rPr>
          <w:lang w:val="nl-NL"/>
        </w:rPr>
        <w:t>Ivanka</w:t>
      </w:r>
      <w:proofErr w:type="spellEnd"/>
      <w:r w:rsidRPr="00C6756E">
        <w:rPr>
          <w:lang w:val="nl-NL"/>
        </w:rPr>
        <w:t xml:space="preserve"> Moerkerken </w:t>
      </w:r>
    </w:p>
    <w:p w:rsidR="006F60EA" w:rsidRPr="00C6756E" w:rsidRDefault="006F60EA" w:rsidP="006F60EA">
      <w:pPr>
        <w:rPr>
          <w:lang w:val="nl-NL"/>
        </w:rPr>
      </w:pPr>
      <w:r w:rsidRPr="00C6756E">
        <w:rPr>
          <w:lang w:val="nl-NL"/>
        </w:rPr>
        <w:t>i.moerkerken@uroweb.org</w:t>
      </w:r>
    </w:p>
    <w:p w:rsidR="006F60EA" w:rsidRPr="00CB6BC6" w:rsidRDefault="006F60EA" w:rsidP="006F60EA">
      <w:r w:rsidRPr="00CB6BC6">
        <w:t>Tel: +31 (0) 26 389 0680</w:t>
      </w:r>
    </w:p>
    <w:p w:rsidR="006F60EA" w:rsidRPr="00CB6BC6" w:rsidRDefault="006F60EA" w:rsidP="006F60EA"/>
    <w:p w:rsidR="006F60EA" w:rsidRPr="00CB6BC6" w:rsidRDefault="006F60EA" w:rsidP="006F60EA">
      <w:pPr>
        <w:rPr>
          <w:b/>
        </w:rPr>
      </w:pPr>
      <w:r w:rsidRPr="00CB6BC6">
        <w:rPr>
          <w:b/>
        </w:rPr>
        <w:t>Notes to editors</w:t>
      </w:r>
    </w:p>
    <w:p w:rsidR="006F60EA" w:rsidRPr="00CB6BC6" w:rsidRDefault="006F60EA" w:rsidP="006F60EA"/>
    <w:p w:rsidR="006F60EA" w:rsidRPr="00CB6BC6" w:rsidRDefault="006F60EA" w:rsidP="006F60EA">
      <w:pPr>
        <w:rPr>
          <w:b/>
        </w:rPr>
      </w:pPr>
      <w:r w:rsidRPr="00CB6BC6">
        <w:rPr>
          <w:b/>
        </w:rPr>
        <w:t>About prostate cancer</w:t>
      </w:r>
    </w:p>
    <w:p w:rsidR="006F60EA" w:rsidRPr="00CB6BC6" w:rsidRDefault="006F60EA" w:rsidP="006F60EA">
      <w:r w:rsidRPr="00CB6BC6">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6F60EA" w:rsidRPr="00CB6BC6" w:rsidRDefault="006F60EA" w:rsidP="006F60EA"/>
    <w:p w:rsidR="006F60EA" w:rsidRPr="00CB6BC6" w:rsidRDefault="006F60EA" w:rsidP="006F60EA">
      <w:pPr>
        <w:rPr>
          <w:b/>
        </w:rPr>
      </w:pPr>
      <w:r w:rsidRPr="00CB6BC6">
        <w:rPr>
          <w:b/>
        </w:rPr>
        <w:t>About the European Association of Urology</w:t>
      </w:r>
    </w:p>
    <w:p w:rsidR="006F60EA" w:rsidRPr="00CB6BC6" w:rsidRDefault="006F60EA" w:rsidP="006F60EA">
      <w:r w:rsidRPr="00CB6BC6">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6F60EA" w:rsidRPr="00CB6BC6" w:rsidRDefault="006F60EA" w:rsidP="006F60EA"/>
    <w:p w:rsidR="006F60EA" w:rsidRPr="00CB6BC6" w:rsidRDefault="006F60EA" w:rsidP="006F60EA">
      <w:pPr>
        <w:rPr>
          <w:b/>
        </w:rPr>
      </w:pPr>
      <w:r w:rsidRPr="00CB6BC6">
        <w:rPr>
          <w:b/>
        </w:rPr>
        <w:t>Reference</w:t>
      </w:r>
    </w:p>
    <w:p w:rsidR="00212DD5" w:rsidRPr="00CB6BC6" w:rsidRDefault="007F3A0B" w:rsidP="006F60EA">
      <w:r>
        <w:t xml:space="preserve">L. </w:t>
      </w:r>
      <w:proofErr w:type="spellStart"/>
      <w:r>
        <w:t>Saaristo</w:t>
      </w:r>
      <w:proofErr w:type="spellEnd"/>
      <w:r>
        <w:t>,</w:t>
      </w:r>
      <w:r w:rsidR="006F60EA" w:rsidRPr="00CB6BC6">
        <w:t xml:space="preserve"> et al., “</w:t>
      </w:r>
      <w:r w:rsidRPr="007F3A0B">
        <w:rPr>
          <w:i/>
        </w:rPr>
        <w:t>Genetic testing in identification of BPH patients developing later prostate cancer</w:t>
      </w:r>
      <w:r>
        <w:rPr>
          <w:i/>
        </w:rPr>
        <w:t>,</w:t>
      </w:r>
      <w:r w:rsidR="006F60EA" w:rsidRPr="00CB6BC6">
        <w:t xml:space="preserve">” Abstract Nr: </w:t>
      </w:r>
      <w:r>
        <w:t>1039;</w:t>
      </w:r>
      <w:r w:rsidR="006F60EA" w:rsidRPr="00CB6BC6">
        <w:t xml:space="preserve"> 28th Annual EAU Congress, 15 to 19 March 2013; Milan, Italy</w:t>
      </w:r>
    </w:p>
    <w:sectPr w:rsidR="00212DD5" w:rsidRPr="00CB6BC6" w:rsidSect="00CB6BC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68C7"/>
    <w:multiLevelType w:val="hybridMultilevel"/>
    <w:tmpl w:val="AFB2C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D5"/>
    <w:rsid w:val="001F20D8"/>
    <w:rsid w:val="00212DD5"/>
    <w:rsid w:val="002653AF"/>
    <w:rsid w:val="0030335B"/>
    <w:rsid w:val="00337649"/>
    <w:rsid w:val="006F60EA"/>
    <w:rsid w:val="007F3A0B"/>
    <w:rsid w:val="00982826"/>
    <w:rsid w:val="00C12440"/>
    <w:rsid w:val="00C6756E"/>
    <w:rsid w:val="00CB6BC6"/>
    <w:rsid w:val="00D32F52"/>
    <w:rsid w:val="00EB25B0"/>
    <w:rsid w:val="00EC1D9A"/>
    <w:rsid w:val="00F25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5998">
      <w:bodyDiv w:val="1"/>
      <w:marLeft w:val="0"/>
      <w:marRight w:val="0"/>
      <w:marTop w:val="0"/>
      <w:marBottom w:val="0"/>
      <w:divBdr>
        <w:top w:val="none" w:sz="0" w:space="0" w:color="auto"/>
        <w:left w:val="none" w:sz="0" w:space="0" w:color="auto"/>
        <w:bottom w:val="none" w:sz="0" w:space="0" w:color="auto"/>
        <w:right w:val="none" w:sz="0" w:space="0" w:color="auto"/>
      </w:divBdr>
    </w:div>
    <w:div w:id="1816605619">
      <w:bodyDiv w:val="1"/>
      <w:marLeft w:val="0"/>
      <w:marRight w:val="0"/>
      <w:marTop w:val="0"/>
      <w:marBottom w:val="0"/>
      <w:divBdr>
        <w:top w:val="none" w:sz="0" w:space="0" w:color="auto"/>
        <w:left w:val="none" w:sz="0" w:space="0" w:color="auto"/>
        <w:bottom w:val="none" w:sz="0" w:space="0" w:color="auto"/>
        <w:right w:val="none" w:sz="0" w:space="0" w:color="auto"/>
      </w:divBdr>
      <w:divsChild>
        <w:div w:id="441653596">
          <w:marLeft w:val="0"/>
          <w:marRight w:val="0"/>
          <w:marTop w:val="0"/>
          <w:marBottom w:val="0"/>
          <w:divBdr>
            <w:top w:val="single" w:sz="2" w:space="0" w:color="800080"/>
            <w:left w:val="single" w:sz="2" w:space="0" w:color="800080"/>
            <w:bottom w:val="single" w:sz="2" w:space="31" w:color="800080"/>
            <w:right w:val="single" w:sz="2" w:space="0" w:color="800080"/>
          </w:divBdr>
          <w:divsChild>
            <w:div w:id="1962573473">
              <w:marLeft w:val="0"/>
              <w:marRight w:val="0"/>
              <w:marTop w:val="0"/>
              <w:marBottom w:val="0"/>
              <w:divBdr>
                <w:top w:val="single" w:sz="2" w:space="0" w:color="0000FF"/>
                <w:left w:val="single" w:sz="2" w:space="11" w:color="0000FF"/>
                <w:bottom w:val="single" w:sz="2" w:space="0" w:color="0000FF"/>
                <w:right w:val="single" w:sz="2" w:space="0" w:color="0000FF"/>
              </w:divBdr>
              <w:divsChild>
                <w:div w:id="224419659">
                  <w:marLeft w:val="0"/>
                  <w:marRight w:val="0"/>
                  <w:marTop w:val="0"/>
                  <w:marBottom w:val="0"/>
                  <w:divBdr>
                    <w:top w:val="single" w:sz="2" w:space="0" w:color="008000"/>
                    <w:left w:val="single" w:sz="2" w:space="0" w:color="008000"/>
                    <w:bottom w:val="single" w:sz="2" w:space="0" w:color="008000"/>
                    <w:right w:val="single" w:sz="2" w:space="0" w:color="008000"/>
                  </w:divBdr>
                  <w:divsChild>
                    <w:div w:id="539779746">
                      <w:marLeft w:val="0"/>
                      <w:marRight w:val="0"/>
                      <w:marTop w:val="0"/>
                      <w:marBottom w:val="0"/>
                      <w:divBdr>
                        <w:top w:val="single" w:sz="2" w:space="0" w:color="0000FF"/>
                        <w:left w:val="single" w:sz="2" w:space="8" w:color="0000FF"/>
                        <w:bottom w:val="single" w:sz="2" w:space="0" w:color="0000FF"/>
                        <w:right w:val="single" w:sz="2" w:space="0" w:color="0000FF"/>
                      </w:divBdr>
                      <w:divsChild>
                        <w:div w:id="116796406">
                          <w:marLeft w:val="0"/>
                          <w:marRight w:val="0"/>
                          <w:marTop w:val="0"/>
                          <w:marBottom w:val="0"/>
                          <w:divBdr>
                            <w:top w:val="single" w:sz="2" w:space="23" w:color="000000"/>
                            <w:left w:val="single" w:sz="2" w:space="8" w:color="000000"/>
                            <w:bottom w:val="single" w:sz="2" w:space="15" w:color="000000"/>
                            <w:right w:val="single" w:sz="2" w:space="8" w:color="000000"/>
                          </w:divBdr>
                          <w:divsChild>
                            <w:div w:id="1803184682">
                              <w:marLeft w:val="0"/>
                              <w:marRight w:val="0"/>
                              <w:marTop w:val="0"/>
                              <w:marBottom w:val="0"/>
                              <w:divBdr>
                                <w:top w:val="single" w:sz="2" w:space="0" w:color="000000"/>
                                <w:left w:val="single" w:sz="2" w:space="0" w:color="000000"/>
                                <w:bottom w:val="single" w:sz="2" w:space="0" w:color="000000"/>
                                <w:right w:val="single" w:sz="2" w:space="15" w:color="000000"/>
                              </w:divBdr>
                              <w:divsChild>
                                <w:div w:id="1548681928">
                                  <w:marLeft w:val="0"/>
                                  <w:marRight w:val="0"/>
                                  <w:marTop w:val="150"/>
                                  <w:marBottom w:val="150"/>
                                  <w:divBdr>
                                    <w:top w:val="none" w:sz="0" w:space="0" w:color="auto"/>
                                    <w:left w:val="none" w:sz="0" w:space="0" w:color="auto"/>
                                    <w:bottom w:val="none" w:sz="0" w:space="0" w:color="auto"/>
                                    <w:right w:val="none" w:sz="0" w:space="0" w:color="auto"/>
                                  </w:divBdr>
                                </w:div>
                                <w:div w:id="1154368525">
                                  <w:marLeft w:val="0"/>
                                  <w:marRight w:val="0"/>
                                  <w:marTop w:val="150"/>
                                  <w:marBottom w:val="150"/>
                                  <w:divBdr>
                                    <w:top w:val="none" w:sz="0" w:space="0" w:color="auto"/>
                                    <w:left w:val="none" w:sz="0" w:space="0" w:color="auto"/>
                                    <w:bottom w:val="none" w:sz="0" w:space="0" w:color="auto"/>
                                    <w:right w:val="none" w:sz="0" w:space="0" w:color="auto"/>
                                  </w:divBdr>
                                </w:div>
                                <w:div w:id="964501432">
                                  <w:marLeft w:val="0"/>
                                  <w:marRight w:val="0"/>
                                  <w:marTop w:val="375"/>
                                  <w:marBottom w:val="150"/>
                                  <w:divBdr>
                                    <w:top w:val="none" w:sz="0" w:space="0" w:color="auto"/>
                                    <w:left w:val="none" w:sz="0" w:space="0" w:color="auto"/>
                                    <w:bottom w:val="none" w:sz="0" w:space="0" w:color="auto"/>
                                    <w:right w:val="none" w:sz="0" w:space="0" w:color="auto"/>
                                  </w:divBdr>
                                </w:div>
                                <w:div w:id="1596398979">
                                  <w:marLeft w:val="0"/>
                                  <w:marRight w:val="0"/>
                                  <w:marTop w:val="375"/>
                                  <w:marBottom w:val="150"/>
                                  <w:divBdr>
                                    <w:top w:val="none" w:sz="0" w:space="0" w:color="auto"/>
                                    <w:left w:val="none" w:sz="0" w:space="0" w:color="auto"/>
                                    <w:bottom w:val="none" w:sz="0" w:space="0" w:color="auto"/>
                                    <w:right w:val="none" w:sz="0" w:space="0" w:color="auto"/>
                                  </w:divBdr>
                                </w:div>
                                <w:div w:id="1210651050">
                                  <w:marLeft w:val="0"/>
                                  <w:marRight w:val="0"/>
                                  <w:marTop w:val="375"/>
                                  <w:marBottom w:val="150"/>
                                  <w:divBdr>
                                    <w:top w:val="none" w:sz="0" w:space="0" w:color="auto"/>
                                    <w:left w:val="none" w:sz="0" w:space="0" w:color="auto"/>
                                    <w:bottom w:val="none" w:sz="0" w:space="0" w:color="auto"/>
                                    <w:right w:val="none" w:sz="0" w:space="0" w:color="auto"/>
                                  </w:divBdr>
                                </w:div>
                                <w:div w:id="1084034725">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EAU</cp:lastModifiedBy>
  <cp:revision>2</cp:revision>
  <dcterms:created xsi:type="dcterms:W3CDTF">2013-03-18T19:50:00Z</dcterms:created>
  <dcterms:modified xsi:type="dcterms:W3CDTF">2013-03-18T19:50:00Z</dcterms:modified>
</cp:coreProperties>
</file>