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80308F" w:rsidRDefault="0080308F" w:rsidP="00C52B41"/>
    <w:p w:rsidR="002A29E2" w:rsidRDefault="001D1770" w:rsidP="00C52B41">
      <w:r>
        <w:t>PRESS RELEASE</w:t>
      </w:r>
      <w:r>
        <w:br/>
        <w:t>European Association of Urology</w:t>
      </w:r>
      <w:r w:rsidR="007E0373">
        <w:t xml:space="preserve"> (EAU)</w:t>
      </w:r>
      <w:r w:rsidR="007E0373">
        <w:br/>
        <w:t>28th Annual EAU Congress</w:t>
      </w:r>
    </w:p>
    <w:p w:rsidR="007E0373" w:rsidRPr="008A07D7" w:rsidRDefault="007E0373" w:rsidP="00C52B41">
      <w:pPr>
        <w:rPr>
          <w:sz w:val="28"/>
          <w:szCs w:val="28"/>
        </w:rPr>
      </w:pPr>
      <w:r>
        <w:t>For immediate release</w:t>
      </w:r>
    </w:p>
    <w:p w:rsidR="002A29E2" w:rsidRPr="0080308F" w:rsidRDefault="002A29E2" w:rsidP="00C52B41"/>
    <w:p w:rsidR="0080308F" w:rsidRDefault="00206AD4" w:rsidP="0080308F">
      <w:pPr>
        <w:rPr>
          <w:b/>
        </w:rPr>
      </w:pPr>
      <w:r>
        <w:rPr>
          <w:b/>
        </w:rPr>
        <w:t>German scientists investigate potential</w:t>
      </w:r>
      <w:r w:rsidRPr="00206AD4">
        <w:rPr>
          <w:b/>
        </w:rPr>
        <w:t xml:space="preserve"> markers for a response to </w:t>
      </w:r>
      <w:proofErr w:type="spellStart"/>
      <w:r w:rsidRPr="00206AD4">
        <w:rPr>
          <w:b/>
        </w:rPr>
        <w:t>sunitinib</w:t>
      </w:r>
      <w:proofErr w:type="spellEnd"/>
      <w:r w:rsidRPr="00206AD4">
        <w:rPr>
          <w:b/>
        </w:rPr>
        <w:t xml:space="preserve"> </w:t>
      </w:r>
      <w:r>
        <w:rPr>
          <w:b/>
        </w:rPr>
        <w:t>in patients</w:t>
      </w:r>
      <w:r w:rsidRPr="00206AD4">
        <w:rPr>
          <w:b/>
        </w:rPr>
        <w:t xml:space="preserve"> with metastatic </w:t>
      </w:r>
      <w:r>
        <w:rPr>
          <w:b/>
        </w:rPr>
        <w:t>RCC</w:t>
      </w:r>
    </w:p>
    <w:p w:rsidR="00206AD4" w:rsidRPr="0080308F" w:rsidRDefault="00206AD4" w:rsidP="0080308F"/>
    <w:p w:rsidR="00206AD4" w:rsidRDefault="00206AD4" w:rsidP="00206AD4">
      <w:pPr>
        <w:shd w:val="clear" w:color="auto" w:fill="FFFFFF"/>
        <w:spacing w:after="150" w:line="270" w:lineRule="atLeast"/>
      </w:pPr>
      <w:r>
        <w:t>Milan, 18</w:t>
      </w:r>
      <w:r w:rsidR="0080308F" w:rsidRPr="0080308F">
        <w:t xml:space="preserve"> March 2013 –</w:t>
      </w:r>
      <w:r>
        <w:t xml:space="preserve"> </w:t>
      </w:r>
      <w:r>
        <w:t>Markers such as CA9, CD31, CD34 and VEGFR1/2 in the primary tumo</w:t>
      </w:r>
      <w:r>
        <w:t xml:space="preserve">urs </w:t>
      </w:r>
      <w:r>
        <w:t>might serve as pred</w:t>
      </w:r>
      <w:r>
        <w:t xml:space="preserve">ictors of a good response to a </w:t>
      </w:r>
      <w:proofErr w:type="spellStart"/>
      <w:r>
        <w:t>s</w:t>
      </w:r>
      <w:r>
        <w:t>unitinib</w:t>
      </w:r>
      <w:proofErr w:type="spellEnd"/>
      <w:r>
        <w:t xml:space="preserve"> treatment</w:t>
      </w:r>
      <w:r>
        <w:t xml:space="preserve"> </w:t>
      </w:r>
      <w:r>
        <w:t>in</w:t>
      </w:r>
      <w:r>
        <w:t xml:space="preserve"> patients with</w:t>
      </w:r>
      <w:r w:rsidRPr="00206AD4">
        <w:t xml:space="preserve"> </w:t>
      </w:r>
      <w:r>
        <w:t>metastatic clear cell renal cell carcinoma (</w:t>
      </w:r>
      <w:proofErr w:type="spellStart"/>
      <w:r>
        <w:t>ccRCC</w:t>
      </w:r>
      <w:proofErr w:type="spellEnd"/>
      <w:r>
        <w:t>)</w:t>
      </w:r>
      <w:r>
        <w:t>, according to a new study to be presented at the 28th Annual EAU Congress currently on-going in Milan.</w:t>
      </w:r>
    </w:p>
    <w:p w:rsidR="00B66644" w:rsidRDefault="00206AD4" w:rsidP="00206AD4">
      <w:pPr>
        <w:shd w:val="clear" w:color="auto" w:fill="FFFFFF"/>
        <w:spacing w:after="150" w:line="270" w:lineRule="atLeast"/>
      </w:pPr>
      <w:r>
        <w:t>“T</w:t>
      </w:r>
      <w:r>
        <w:t xml:space="preserve">he inactivation of the von </w:t>
      </w:r>
      <w:proofErr w:type="spellStart"/>
      <w:r>
        <w:t>Hippel-Lindau</w:t>
      </w:r>
      <w:proofErr w:type="spellEnd"/>
      <w:r>
        <w:t xml:space="preserve"> gene (VHL) is a common event in </w:t>
      </w:r>
      <w:proofErr w:type="spellStart"/>
      <w:r>
        <w:t>ccRCC</w:t>
      </w:r>
      <w:proofErr w:type="spellEnd"/>
      <w:r>
        <w:t xml:space="preserve"> and finally leads to the induction of HIF1α ta</w:t>
      </w:r>
      <w:r>
        <w:t>rget genes such as CA9 and VEGF,” write the authors. “</w:t>
      </w:r>
      <w:r>
        <w:t xml:space="preserve">Besides VEGF, the VEGF and PDGF receptors also play an important role in angiogenesis that is reflected by the </w:t>
      </w:r>
      <w:proofErr w:type="spellStart"/>
      <w:r>
        <w:t>microvessel</w:t>
      </w:r>
      <w:proofErr w:type="spellEnd"/>
      <w:r>
        <w:t xml:space="preserve"> density (MVD). The tyrosine kinase inhibitor (TKI) </w:t>
      </w:r>
      <w:proofErr w:type="spellStart"/>
      <w:r>
        <w:t>Sunitinib</w:t>
      </w:r>
      <w:proofErr w:type="spellEnd"/>
      <w:r>
        <w:t xml:space="preserve"> targets amongst others the receptors of VEGF and PDGF and is currently one of the standard treatment options for metastatic </w:t>
      </w:r>
      <w:proofErr w:type="spellStart"/>
      <w:r>
        <w:t>ccRCC</w:t>
      </w:r>
      <w:proofErr w:type="spellEnd"/>
      <w:r>
        <w:t>.</w:t>
      </w:r>
      <w:r w:rsidR="00B66644">
        <w:t>”</w:t>
      </w:r>
      <w:r>
        <w:t xml:space="preserve"> </w:t>
      </w:r>
    </w:p>
    <w:p w:rsidR="00206AD4" w:rsidRDefault="00B66644" w:rsidP="00206AD4">
      <w:pPr>
        <w:shd w:val="clear" w:color="auto" w:fill="FFFFFF"/>
        <w:spacing w:after="150" w:line="270" w:lineRule="atLeast"/>
      </w:pPr>
      <w:r>
        <w:t xml:space="preserve">According to the researchers, </w:t>
      </w:r>
      <w:r w:rsidR="00206AD4">
        <w:t xml:space="preserve">there is </w:t>
      </w:r>
      <w:r>
        <w:t xml:space="preserve">currently </w:t>
      </w:r>
      <w:r w:rsidR="00206AD4">
        <w:t xml:space="preserve">a lack of predictive biomarkers for a response to TKI treatment. </w:t>
      </w:r>
      <w:r>
        <w:t>In this study, p</w:t>
      </w:r>
      <w:r w:rsidR="00206AD4">
        <w:t xml:space="preserve">rimary </w:t>
      </w:r>
      <w:r>
        <w:t>tumours</w:t>
      </w:r>
      <w:r w:rsidR="00206AD4">
        <w:t xml:space="preserve"> from </w:t>
      </w:r>
      <w:proofErr w:type="spellStart"/>
      <w:r w:rsidR="00206AD4">
        <w:t>ccRCC</w:t>
      </w:r>
      <w:proofErr w:type="spellEnd"/>
      <w:r w:rsidR="00206AD4">
        <w:t xml:space="preserve"> patients, who were later treated with </w:t>
      </w:r>
      <w:proofErr w:type="spellStart"/>
      <w:r>
        <w:t>sunitinib</w:t>
      </w:r>
      <w:proofErr w:type="spellEnd"/>
      <w:r>
        <w:t>, w</w:t>
      </w:r>
      <w:r w:rsidR="00206AD4">
        <w:t>ere used for biomarker analyses.</w:t>
      </w:r>
    </w:p>
    <w:p w:rsidR="00B66644" w:rsidRDefault="00B66644" w:rsidP="00206AD4">
      <w:pPr>
        <w:shd w:val="clear" w:color="auto" w:fill="FFFFFF"/>
        <w:spacing w:after="150" w:line="270" w:lineRule="atLeast"/>
      </w:pPr>
      <w:r>
        <w:t xml:space="preserve">In the course of the study, </w:t>
      </w:r>
      <w:r w:rsidR="00206AD4">
        <w:t xml:space="preserve">DNA was isolated from </w:t>
      </w:r>
      <w:proofErr w:type="spellStart"/>
      <w:r w:rsidR="00206AD4">
        <w:t>cryo</w:t>
      </w:r>
      <w:proofErr w:type="spellEnd"/>
      <w:r w:rsidR="00206AD4">
        <w:t xml:space="preserve">-preserved </w:t>
      </w:r>
      <w:r>
        <w:t>tumour</w:t>
      </w:r>
      <w:r w:rsidR="00206AD4">
        <w:t xml:space="preserve"> tissue specimens from 20 </w:t>
      </w:r>
      <w:proofErr w:type="spellStart"/>
      <w:r w:rsidR="00206AD4">
        <w:t>ccRCC</w:t>
      </w:r>
      <w:proofErr w:type="spellEnd"/>
      <w:r w:rsidR="00206AD4">
        <w:t xml:space="preserve"> patients for VHL copy number and mutation analyses. Tissue microarrays were prepared from 42 paraffin-embedded malignant and corresponding non-ma</w:t>
      </w:r>
      <w:r>
        <w:t>lignant renal tissue specimens.</w:t>
      </w:r>
    </w:p>
    <w:p w:rsidR="00206AD4" w:rsidRDefault="00206AD4" w:rsidP="00206AD4">
      <w:pPr>
        <w:shd w:val="clear" w:color="auto" w:fill="FFFFFF"/>
        <w:spacing w:after="150" w:line="270" w:lineRule="atLeast"/>
      </w:pPr>
      <w:proofErr w:type="spellStart"/>
      <w:r>
        <w:t>Immunohistochemical</w:t>
      </w:r>
      <w:proofErr w:type="spellEnd"/>
      <w:r>
        <w:t xml:space="preserve"> staining of VHL, CA9, PDGFRα, PDGFRβ, VEGFR1, VEGFR2, VEGFR3, CD31 and CD34 was assessed by a scoring system including staining intensity and percentage of stained </w:t>
      </w:r>
      <w:proofErr w:type="spellStart"/>
      <w:r>
        <w:t>tumor</w:t>
      </w:r>
      <w:proofErr w:type="spellEnd"/>
      <w:r>
        <w:t xml:space="preserve"> cells as well as vessel (endothelial) staining. The objective response rate was evaluated according to the RECIST criteria after 3, 6, 9 months and last</w:t>
      </w:r>
      <w:r w:rsidR="00B66644">
        <w:t xml:space="preserve"> report (12-54 months) of </w:t>
      </w:r>
      <w:proofErr w:type="spellStart"/>
      <w:r w:rsidR="00B66644">
        <w:t>s</w:t>
      </w:r>
      <w:r>
        <w:t>unitinib</w:t>
      </w:r>
      <w:proofErr w:type="spellEnd"/>
      <w:r>
        <w:t xml:space="preserve"> treatment.</w:t>
      </w:r>
    </w:p>
    <w:p w:rsidR="00B66644" w:rsidRDefault="00206AD4" w:rsidP="00206AD4">
      <w:pPr>
        <w:shd w:val="clear" w:color="auto" w:fill="FFFFFF"/>
        <w:spacing w:after="150" w:line="270" w:lineRule="atLeast"/>
      </w:pPr>
      <w:r>
        <w:t xml:space="preserve">Copy number loss and mutation of VHL was observed in 60% and 50%, respectively, </w:t>
      </w:r>
      <w:r w:rsidR="00B66644">
        <w:t>with 40% of the cases showing</w:t>
      </w:r>
      <w:r>
        <w:t xml:space="preserve"> both VHL changes. These VHL gene alterations were accompanied by a reduced VHL protein staining and an increased CA9 score.</w:t>
      </w:r>
    </w:p>
    <w:p w:rsidR="00B66644" w:rsidRDefault="00206AD4" w:rsidP="00206AD4">
      <w:pPr>
        <w:shd w:val="clear" w:color="auto" w:fill="FFFFFF"/>
        <w:spacing w:after="150" w:line="270" w:lineRule="atLeast"/>
      </w:pPr>
      <w:r>
        <w:t>After 9 months, 45</w:t>
      </w:r>
      <w:r w:rsidR="00B66644">
        <w:t xml:space="preserve">% of the patients responded to </w:t>
      </w:r>
      <w:proofErr w:type="spellStart"/>
      <w:r w:rsidR="00B66644">
        <w:t>s</w:t>
      </w:r>
      <w:r>
        <w:t>unitinib</w:t>
      </w:r>
      <w:proofErr w:type="spellEnd"/>
      <w:r>
        <w:t xml:space="preserve"> treatment. Their response was associated with low Fuhrman grade of the primary </w:t>
      </w:r>
      <w:r w:rsidR="00B66644">
        <w:t>tumour</w:t>
      </w:r>
      <w:r>
        <w:t xml:space="preserve"> (p&lt;0.05). The vessel staining of VEGFR1/2 was elevated in patients with a response after last report.</w:t>
      </w:r>
    </w:p>
    <w:p w:rsidR="00B66644" w:rsidRDefault="00B66644" w:rsidP="00206AD4">
      <w:pPr>
        <w:shd w:val="clear" w:color="auto" w:fill="FFFFFF"/>
        <w:spacing w:after="150" w:line="270" w:lineRule="atLeast"/>
      </w:pPr>
    </w:p>
    <w:p w:rsidR="00B66644" w:rsidRDefault="00B66644" w:rsidP="00206AD4">
      <w:pPr>
        <w:shd w:val="clear" w:color="auto" w:fill="FFFFFF"/>
        <w:spacing w:after="150" w:line="270" w:lineRule="atLeast"/>
      </w:pPr>
    </w:p>
    <w:p w:rsidR="00206AD4" w:rsidRDefault="00206AD4" w:rsidP="00206AD4">
      <w:pPr>
        <w:shd w:val="clear" w:color="auto" w:fill="FFFFFF"/>
        <w:spacing w:after="150" w:line="270" w:lineRule="atLeast"/>
      </w:pPr>
      <w:r>
        <w:lastRenderedPageBreak/>
        <w:t xml:space="preserve">Patients with a response after 6 months exhibited an increased MVD and CA9 staining in the primary </w:t>
      </w:r>
      <w:r w:rsidR="00B66644">
        <w:t>tumour</w:t>
      </w:r>
      <w:r>
        <w:t xml:space="preserve"> (p&lt;0.05) and their estimated median progression free survival (12 </w:t>
      </w:r>
      <w:proofErr w:type="spellStart"/>
      <w:r>
        <w:t>mo</w:t>
      </w:r>
      <w:proofErr w:type="spellEnd"/>
      <w:r>
        <w:t xml:space="preserve"> vs. 8 </w:t>
      </w:r>
      <w:proofErr w:type="spellStart"/>
      <w:r>
        <w:t>mo</w:t>
      </w:r>
      <w:proofErr w:type="spellEnd"/>
      <w:r>
        <w:t xml:space="preserve">; p&lt;0,001) and median overall survival (45 </w:t>
      </w:r>
      <w:proofErr w:type="spellStart"/>
      <w:r>
        <w:t>mo</w:t>
      </w:r>
      <w:proofErr w:type="spellEnd"/>
      <w:r>
        <w:t xml:space="preserve"> vs. 21 </w:t>
      </w:r>
      <w:proofErr w:type="spellStart"/>
      <w:r>
        <w:t>mo</w:t>
      </w:r>
      <w:proofErr w:type="spellEnd"/>
      <w:r>
        <w:t>; p&lt;0.001) was longer than for non-responders. High CA9 and low PDGFRα protein expression were associated with longer overall survival (p&lt;0.01).</w:t>
      </w:r>
    </w:p>
    <w:p w:rsidR="00206AD4" w:rsidRDefault="00206AD4" w:rsidP="00206AD4">
      <w:pPr>
        <w:shd w:val="clear" w:color="auto" w:fill="FFFFFF"/>
        <w:spacing w:after="150" w:line="270" w:lineRule="atLeast"/>
      </w:pPr>
    </w:p>
    <w:p w:rsidR="0080308F" w:rsidRPr="0080308F" w:rsidRDefault="0080308F" w:rsidP="0080308F">
      <w:pPr>
        <w:ind w:left="3540" w:firstLine="708"/>
      </w:pPr>
      <w:r w:rsidRPr="0080308F">
        <w:t>###</w:t>
      </w:r>
    </w:p>
    <w:p w:rsidR="0080308F" w:rsidRPr="0080308F" w:rsidRDefault="0080308F" w:rsidP="0080308F"/>
    <w:p w:rsidR="0080308F" w:rsidRPr="0080308F" w:rsidRDefault="0080308F" w:rsidP="0080308F">
      <w:pPr>
        <w:rPr>
          <w:b/>
        </w:rPr>
      </w:pPr>
      <w:r w:rsidRPr="0080308F">
        <w:rPr>
          <w:b/>
        </w:rPr>
        <w:t xml:space="preserve">For further information please contact: </w:t>
      </w:r>
    </w:p>
    <w:p w:rsidR="0080308F" w:rsidRPr="003D4B8E" w:rsidRDefault="0080308F" w:rsidP="0080308F">
      <w:pPr>
        <w:rPr>
          <w:lang w:val="nl-NL"/>
        </w:rPr>
      </w:pPr>
      <w:proofErr w:type="spellStart"/>
      <w:r w:rsidRPr="003D4B8E">
        <w:rPr>
          <w:lang w:val="nl-NL"/>
        </w:rPr>
        <w:t>Ivanka</w:t>
      </w:r>
      <w:proofErr w:type="spellEnd"/>
      <w:r w:rsidRPr="003D4B8E">
        <w:rPr>
          <w:lang w:val="nl-NL"/>
        </w:rPr>
        <w:t xml:space="preserve"> Moerkerken</w:t>
      </w:r>
      <w:r w:rsidRPr="003D4B8E">
        <w:rPr>
          <w:lang w:val="nl-NL"/>
        </w:rPr>
        <w:br/>
      </w:r>
      <w:hyperlink r:id="rId6" w:history="1">
        <w:r w:rsidRPr="003D4B8E">
          <w:rPr>
            <w:lang w:val="nl-NL"/>
          </w:rPr>
          <w:t>i.moerkerken@uroweb.org</w:t>
        </w:r>
      </w:hyperlink>
      <w:r w:rsidRPr="003D4B8E">
        <w:rPr>
          <w:lang w:val="nl-NL"/>
        </w:rPr>
        <w:br/>
        <w:t>Tel: +31 (0) 26 389 0680</w:t>
      </w:r>
    </w:p>
    <w:p w:rsidR="0080308F" w:rsidRPr="003D4B8E" w:rsidRDefault="0080308F" w:rsidP="0080308F">
      <w:pPr>
        <w:rPr>
          <w:lang w:val="nl-NL"/>
        </w:rPr>
      </w:pPr>
    </w:p>
    <w:p w:rsidR="0080308F" w:rsidRPr="0080308F" w:rsidRDefault="0080308F" w:rsidP="0080308F">
      <w:pPr>
        <w:rPr>
          <w:b/>
        </w:rPr>
      </w:pPr>
      <w:r w:rsidRPr="0080308F">
        <w:rPr>
          <w:b/>
        </w:rPr>
        <w:t>Notes to editors</w:t>
      </w:r>
    </w:p>
    <w:p w:rsidR="0080308F" w:rsidRPr="0080308F" w:rsidRDefault="0080308F" w:rsidP="0080308F">
      <w:pPr>
        <w:rPr>
          <w:b/>
        </w:rPr>
      </w:pPr>
    </w:p>
    <w:p w:rsidR="0080308F" w:rsidRPr="0080308F" w:rsidRDefault="0080308F" w:rsidP="0080308F">
      <w:pPr>
        <w:rPr>
          <w:b/>
        </w:rPr>
      </w:pPr>
      <w:r w:rsidRPr="0080308F">
        <w:rPr>
          <w:b/>
        </w:rPr>
        <w:t>About prostate cancer</w:t>
      </w:r>
    </w:p>
    <w:p w:rsidR="0080308F" w:rsidRPr="0080308F" w:rsidRDefault="0080308F" w:rsidP="0080308F">
      <w:r w:rsidRPr="0080308F">
        <w:t>Prostate cancer is still a major health concern in the Western male population. It is the most common male malignancy in most European countries with 346,000 new cases diagnosed each year in Europe. Research efforts have increased steadily over the past two decades.</w:t>
      </w:r>
    </w:p>
    <w:p w:rsidR="0080308F" w:rsidRPr="0080308F" w:rsidRDefault="0080308F" w:rsidP="0080308F"/>
    <w:p w:rsidR="0080308F" w:rsidRPr="00454596" w:rsidRDefault="0080308F" w:rsidP="0080308F">
      <w:pPr>
        <w:rPr>
          <w:b/>
        </w:rPr>
      </w:pPr>
      <w:r w:rsidRPr="00454596">
        <w:rPr>
          <w:b/>
        </w:rPr>
        <w:t>About the European Association of Urology</w:t>
      </w:r>
    </w:p>
    <w:p w:rsidR="0080308F" w:rsidRPr="0080308F" w:rsidRDefault="0080308F" w:rsidP="0080308F">
      <w:r w:rsidRPr="0080308F">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80308F" w:rsidRPr="0080308F" w:rsidRDefault="0080308F" w:rsidP="0080308F"/>
    <w:p w:rsidR="0080308F" w:rsidRPr="0080308F" w:rsidRDefault="0080308F" w:rsidP="0080308F">
      <w:pPr>
        <w:rPr>
          <w:b/>
        </w:rPr>
      </w:pPr>
      <w:r w:rsidRPr="0080308F">
        <w:rPr>
          <w:b/>
        </w:rPr>
        <w:t>Reference</w:t>
      </w:r>
    </w:p>
    <w:p w:rsidR="002A29E2" w:rsidRPr="0080308F" w:rsidRDefault="00206AD4" w:rsidP="00B66644">
      <w:r>
        <w:rPr>
          <w:lang w:val="en-US"/>
        </w:rPr>
        <w:t xml:space="preserve">J. </w:t>
      </w:r>
      <w:proofErr w:type="spellStart"/>
      <w:r>
        <w:rPr>
          <w:lang w:val="en-US"/>
        </w:rPr>
        <w:t>Dornbusch</w:t>
      </w:r>
      <w:proofErr w:type="spellEnd"/>
      <w:r>
        <w:rPr>
          <w:lang w:val="en-US"/>
        </w:rPr>
        <w:t xml:space="preserve">, </w:t>
      </w:r>
      <w:r w:rsidR="0080308F" w:rsidRPr="0080308F">
        <w:t xml:space="preserve">et al., </w:t>
      </w:r>
      <w:r w:rsidR="0080308F" w:rsidRPr="0080308F">
        <w:rPr>
          <w:i/>
        </w:rPr>
        <w:t>“</w:t>
      </w:r>
      <w:r w:rsidRPr="00206AD4">
        <w:rPr>
          <w:i/>
        </w:rPr>
        <w:t xml:space="preserve">Potential predictive markers for a response to </w:t>
      </w:r>
      <w:proofErr w:type="spellStart"/>
      <w:r w:rsidRPr="00206AD4">
        <w:rPr>
          <w:i/>
        </w:rPr>
        <w:t>sunitinib</w:t>
      </w:r>
      <w:proofErr w:type="spellEnd"/>
      <w:r w:rsidRPr="00206AD4">
        <w:rPr>
          <w:i/>
        </w:rPr>
        <w:t xml:space="preserve"> and their association with survival of patients with metastatic renal cell carcinoma</w:t>
      </w:r>
      <w:r w:rsidR="0080308F" w:rsidRPr="0080308F">
        <w:rPr>
          <w:i/>
        </w:rPr>
        <w:t>,”</w:t>
      </w:r>
      <w:r w:rsidR="0080308F" w:rsidRPr="0080308F">
        <w:t xml:space="preserve"> Abstract Nr: 9</w:t>
      </w:r>
      <w:r>
        <w:t>84</w:t>
      </w:r>
      <w:r w:rsidR="0080308F" w:rsidRPr="0080308F">
        <w:t>; 28th Annual EAU Congress, 15 to 19 March 2013; Milan, Italy.</w:t>
      </w:r>
      <w:bookmarkStart w:id="0" w:name="_GoBack"/>
      <w:bookmarkEnd w:id="0"/>
    </w:p>
    <w:sectPr w:rsidR="002A29E2" w:rsidRPr="0080308F" w:rsidSect="0080308F">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C0681"/>
    <w:rsid w:val="001C0C7C"/>
    <w:rsid w:val="001C12CE"/>
    <w:rsid w:val="001D1770"/>
    <w:rsid w:val="00206AD4"/>
    <w:rsid w:val="002653AF"/>
    <w:rsid w:val="0027163A"/>
    <w:rsid w:val="002956A7"/>
    <w:rsid w:val="002A29E2"/>
    <w:rsid w:val="0031302A"/>
    <w:rsid w:val="00315909"/>
    <w:rsid w:val="00356A38"/>
    <w:rsid w:val="003736FD"/>
    <w:rsid w:val="003D4B8E"/>
    <w:rsid w:val="003D73CC"/>
    <w:rsid w:val="003F48D8"/>
    <w:rsid w:val="00410F5D"/>
    <w:rsid w:val="004464E3"/>
    <w:rsid w:val="00454596"/>
    <w:rsid w:val="004C6203"/>
    <w:rsid w:val="005734F0"/>
    <w:rsid w:val="005A6C8E"/>
    <w:rsid w:val="005D43BC"/>
    <w:rsid w:val="0064083D"/>
    <w:rsid w:val="00704671"/>
    <w:rsid w:val="00796090"/>
    <w:rsid w:val="007A3ADC"/>
    <w:rsid w:val="007B1DAA"/>
    <w:rsid w:val="007C04FF"/>
    <w:rsid w:val="007C6534"/>
    <w:rsid w:val="007E0373"/>
    <w:rsid w:val="0080308F"/>
    <w:rsid w:val="008A07D7"/>
    <w:rsid w:val="008F4C27"/>
    <w:rsid w:val="00914465"/>
    <w:rsid w:val="009A28D3"/>
    <w:rsid w:val="009E14DB"/>
    <w:rsid w:val="009F4163"/>
    <w:rsid w:val="00A249A9"/>
    <w:rsid w:val="00A55DC1"/>
    <w:rsid w:val="00A90D94"/>
    <w:rsid w:val="00A95F85"/>
    <w:rsid w:val="00B66644"/>
    <w:rsid w:val="00B7410D"/>
    <w:rsid w:val="00B83D20"/>
    <w:rsid w:val="00BB145C"/>
    <w:rsid w:val="00BC7F85"/>
    <w:rsid w:val="00C143EF"/>
    <w:rsid w:val="00C23042"/>
    <w:rsid w:val="00C52B41"/>
    <w:rsid w:val="00D32F52"/>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639739">
      <w:bodyDiv w:val="1"/>
      <w:marLeft w:val="0"/>
      <w:marRight w:val="0"/>
      <w:marTop w:val="0"/>
      <w:marBottom w:val="0"/>
      <w:divBdr>
        <w:top w:val="none" w:sz="0" w:space="0" w:color="auto"/>
        <w:left w:val="none" w:sz="0" w:space="0" w:color="auto"/>
        <w:bottom w:val="none" w:sz="0" w:space="0" w:color="auto"/>
        <w:right w:val="none" w:sz="0" w:space="0" w:color="auto"/>
      </w:divBdr>
      <w:divsChild>
        <w:div w:id="1431003681">
          <w:marLeft w:val="0"/>
          <w:marRight w:val="0"/>
          <w:marTop w:val="0"/>
          <w:marBottom w:val="0"/>
          <w:divBdr>
            <w:top w:val="single" w:sz="2" w:space="0" w:color="800080"/>
            <w:left w:val="single" w:sz="2" w:space="0" w:color="800080"/>
            <w:bottom w:val="single" w:sz="2" w:space="31" w:color="800080"/>
            <w:right w:val="single" w:sz="2" w:space="0" w:color="800080"/>
          </w:divBdr>
          <w:divsChild>
            <w:div w:id="55662764">
              <w:marLeft w:val="0"/>
              <w:marRight w:val="0"/>
              <w:marTop w:val="0"/>
              <w:marBottom w:val="0"/>
              <w:divBdr>
                <w:top w:val="single" w:sz="2" w:space="0" w:color="0000FF"/>
                <w:left w:val="single" w:sz="2" w:space="11" w:color="0000FF"/>
                <w:bottom w:val="single" w:sz="2" w:space="0" w:color="0000FF"/>
                <w:right w:val="single" w:sz="2" w:space="0" w:color="0000FF"/>
              </w:divBdr>
              <w:divsChild>
                <w:div w:id="1907839642">
                  <w:marLeft w:val="0"/>
                  <w:marRight w:val="0"/>
                  <w:marTop w:val="0"/>
                  <w:marBottom w:val="0"/>
                  <w:divBdr>
                    <w:top w:val="single" w:sz="2" w:space="0" w:color="008000"/>
                    <w:left w:val="single" w:sz="2" w:space="0" w:color="008000"/>
                    <w:bottom w:val="single" w:sz="2" w:space="0" w:color="008000"/>
                    <w:right w:val="single" w:sz="2" w:space="0" w:color="008000"/>
                  </w:divBdr>
                  <w:divsChild>
                    <w:div w:id="794298275">
                      <w:marLeft w:val="0"/>
                      <w:marRight w:val="0"/>
                      <w:marTop w:val="0"/>
                      <w:marBottom w:val="0"/>
                      <w:divBdr>
                        <w:top w:val="single" w:sz="2" w:space="0" w:color="0000FF"/>
                        <w:left w:val="single" w:sz="2" w:space="8" w:color="0000FF"/>
                        <w:bottom w:val="single" w:sz="2" w:space="0" w:color="0000FF"/>
                        <w:right w:val="single" w:sz="2" w:space="0" w:color="0000FF"/>
                      </w:divBdr>
                      <w:divsChild>
                        <w:div w:id="256138217">
                          <w:marLeft w:val="0"/>
                          <w:marRight w:val="0"/>
                          <w:marTop w:val="0"/>
                          <w:marBottom w:val="0"/>
                          <w:divBdr>
                            <w:top w:val="single" w:sz="2" w:space="23" w:color="000000"/>
                            <w:left w:val="single" w:sz="2" w:space="8" w:color="000000"/>
                            <w:bottom w:val="single" w:sz="2" w:space="15" w:color="000000"/>
                            <w:right w:val="single" w:sz="2" w:space="8" w:color="000000"/>
                          </w:divBdr>
                          <w:divsChild>
                            <w:div w:id="378093800">
                              <w:marLeft w:val="0"/>
                              <w:marRight w:val="0"/>
                              <w:marTop w:val="0"/>
                              <w:marBottom w:val="0"/>
                              <w:divBdr>
                                <w:top w:val="single" w:sz="2" w:space="0" w:color="000000"/>
                                <w:left w:val="single" w:sz="2" w:space="0" w:color="000000"/>
                                <w:bottom w:val="single" w:sz="2" w:space="0" w:color="000000"/>
                                <w:right w:val="single" w:sz="2" w:space="15" w:color="000000"/>
                              </w:divBdr>
                              <w:divsChild>
                                <w:div w:id="1661276094">
                                  <w:marLeft w:val="0"/>
                                  <w:marRight w:val="0"/>
                                  <w:marTop w:val="150"/>
                                  <w:marBottom w:val="150"/>
                                  <w:divBdr>
                                    <w:top w:val="none" w:sz="0" w:space="0" w:color="auto"/>
                                    <w:left w:val="none" w:sz="0" w:space="0" w:color="auto"/>
                                    <w:bottom w:val="none" w:sz="0" w:space="0" w:color="auto"/>
                                    <w:right w:val="none" w:sz="0" w:space="0" w:color="auto"/>
                                  </w:divBdr>
                                </w:div>
                                <w:div w:id="1969973421">
                                  <w:marLeft w:val="0"/>
                                  <w:marRight w:val="0"/>
                                  <w:marTop w:val="150"/>
                                  <w:marBottom w:val="150"/>
                                  <w:divBdr>
                                    <w:top w:val="none" w:sz="0" w:space="0" w:color="auto"/>
                                    <w:left w:val="none" w:sz="0" w:space="0" w:color="auto"/>
                                    <w:bottom w:val="none" w:sz="0" w:space="0" w:color="auto"/>
                                    <w:right w:val="none" w:sz="0" w:space="0" w:color="auto"/>
                                  </w:divBdr>
                                </w:div>
                                <w:div w:id="1542092502">
                                  <w:marLeft w:val="0"/>
                                  <w:marRight w:val="0"/>
                                  <w:marTop w:val="375"/>
                                  <w:marBottom w:val="150"/>
                                  <w:divBdr>
                                    <w:top w:val="none" w:sz="0" w:space="0" w:color="auto"/>
                                    <w:left w:val="none" w:sz="0" w:space="0" w:color="auto"/>
                                    <w:bottom w:val="none" w:sz="0" w:space="0" w:color="auto"/>
                                    <w:right w:val="none" w:sz="0" w:space="0" w:color="auto"/>
                                  </w:divBdr>
                                </w:div>
                                <w:div w:id="671300902">
                                  <w:marLeft w:val="0"/>
                                  <w:marRight w:val="0"/>
                                  <w:marTop w:val="375"/>
                                  <w:marBottom w:val="150"/>
                                  <w:divBdr>
                                    <w:top w:val="none" w:sz="0" w:space="0" w:color="auto"/>
                                    <w:left w:val="none" w:sz="0" w:space="0" w:color="auto"/>
                                    <w:bottom w:val="none" w:sz="0" w:space="0" w:color="auto"/>
                                    <w:right w:val="none" w:sz="0" w:space="0" w:color="auto"/>
                                  </w:divBdr>
                                </w:div>
                                <w:div w:id="2082217464">
                                  <w:marLeft w:val="0"/>
                                  <w:marRight w:val="0"/>
                                  <w:marTop w:val="375"/>
                                  <w:marBottom w:val="150"/>
                                  <w:divBdr>
                                    <w:top w:val="none" w:sz="0" w:space="0" w:color="auto"/>
                                    <w:left w:val="none" w:sz="0" w:space="0" w:color="auto"/>
                                    <w:bottom w:val="none" w:sz="0" w:space="0" w:color="auto"/>
                                    <w:right w:val="none" w:sz="0" w:space="0" w:color="auto"/>
                                  </w:divBdr>
                                </w:div>
                                <w:div w:id="1360231273">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115140">
      <w:bodyDiv w:val="1"/>
      <w:marLeft w:val="0"/>
      <w:marRight w:val="0"/>
      <w:marTop w:val="0"/>
      <w:marBottom w:val="0"/>
      <w:divBdr>
        <w:top w:val="none" w:sz="0" w:space="0" w:color="auto"/>
        <w:left w:val="none" w:sz="0" w:space="0" w:color="auto"/>
        <w:bottom w:val="none" w:sz="0" w:space="0" w:color="auto"/>
        <w:right w:val="none" w:sz="0" w:space="0" w:color="auto"/>
      </w:divBdr>
      <w:divsChild>
        <w:div w:id="2143839262">
          <w:marLeft w:val="0"/>
          <w:marRight w:val="0"/>
          <w:marTop w:val="0"/>
          <w:marBottom w:val="0"/>
          <w:divBdr>
            <w:top w:val="single" w:sz="2" w:space="0" w:color="800080"/>
            <w:left w:val="single" w:sz="2" w:space="0" w:color="800080"/>
            <w:bottom w:val="single" w:sz="2" w:space="31" w:color="800080"/>
            <w:right w:val="single" w:sz="2" w:space="0" w:color="800080"/>
          </w:divBdr>
          <w:divsChild>
            <w:div w:id="1883008895">
              <w:marLeft w:val="0"/>
              <w:marRight w:val="0"/>
              <w:marTop w:val="0"/>
              <w:marBottom w:val="0"/>
              <w:divBdr>
                <w:top w:val="single" w:sz="2" w:space="0" w:color="0000FF"/>
                <w:left w:val="single" w:sz="2" w:space="11" w:color="0000FF"/>
                <w:bottom w:val="single" w:sz="2" w:space="0" w:color="0000FF"/>
                <w:right w:val="single" w:sz="2" w:space="0" w:color="0000FF"/>
              </w:divBdr>
              <w:divsChild>
                <w:div w:id="1276980020">
                  <w:marLeft w:val="0"/>
                  <w:marRight w:val="0"/>
                  <w:marTop w:val="0"/>
                  <w:marBottom w:val="0"/>
                  <w:divBdr>
                    <w:top w:val="single" w:sz="2" w:space="0" w:color="008000"/>
                    <w:left w:val="single" w:sz="2" w:space="0" w:color="008000"/>
                    <w:bottom w:val="single" w:sz="2" w:space="0" w:color="008000"/>
                    <w:right w:val="single" w:sz="2" w:space="0" w:color="008000"/>
                  </w:divBdr>
                  <w:divsChild>
                    <w:div w:id="294412010">
                      <w:marLeft w:val="0"/>
                      <w:marRight w:val="0"/>
                      <w:marTop w:val="0"/>
                      <w:marBottom w:val="0"/>
                      <w:divBdr>
                        <w:top w:val="single" w:sz="2" w:space="0" w:color="0000FF"/>
                        <w:left w:val="single" w:sz="2" w:space="8" w:color="0000FF"/>
                        <w:bottom w:val="single" w:sz="2" w:space="0" w:color="0000FF"/>
                        <w:right w:val="single" w:sz="2" w:space="0" w:color="0000FF"/>
                      </w:divBdr>
                      <w:divsChild>
                        <w:div w:id="359163344">
                          <w:marLeft w:val="0"/>
                          <w:marRight w:val="0"/>
                          <w:marTop w:val="0"/>
                          <w:marBottom w:val="0"/>
                          <w:divBdr>
                            <w:top w:val="single" w:sz="2" w:space="23" w:color="000000"/>
                            <w:left w:val="single" w:sz="2" w:space="8" w:color="000000"/>
                            <w:bottom w:val="single" w:sz="2" w:space="15" w:color="000000"/>
                            <w:right w:val="single" w:sz="2" w:space="8" w:color="000000"/>
                          </w:divBdr>
                          <w:divsChild>
                            <w:div w:id="1500583658">
                              <w:marLeft w:val="0"/>
                              <w:marRight w:val="0"/>
                              <w:marTop w:val="0"/>
                              <w:marBottom w:val="0"/>
                              <w:divBdr>
                                <w:top w:val="single" w:sz="2" w:space="0" w:color="000000"/>
                                <w:left w:val="single" w:sz="2" w:space="0" w:color="000000"/>
                                <w:bottom w:val="single" w:sz="2" w:space="0" w:color="000000"/>
                                <w:right w:val="single" w:sz="2" w:space="15" w:color="000000"/>
                              </w:divBdr>
                              <w:divsChild>
                                <w:div w:id="2075816808">
                                  <w:marLeft w:val="0"/>
                                  <w:marRight w:val="0"/>
                                  <w:marTop w:val="150"/>
                                  <w:marBottom w:val="150"/>
                                  <w:divBdr>
                                    <w:top w:val="none" w:sz="0" w:space="0" w:color="auto"/>
                                    <w:left w:val="none" w:sz="0" w:space="0" w:color="auto"/>
                                    <w:bottom w:val="none" w:sz="0" w:space="0" w:color="auto"/>
                                    <w:right w:val="none" w:sz="0" w:space="0" w:color="auto"/>
                                  </w:divBdr>
                                </w:div>
                                <w:div w:id="2107533114">
                                  <w:marLeft w:val="0"/>
                                  <w:marRight w:val="0"/>
                                  <w:marTop w:val="150"/>
                                  <w:marBottom w:val="150"/>
                                  <w:divBdr>
                                    <w:top w:val="none" w:sz="0" w:space="0" w:color="auto"/>
                                    <w:left w:val="none" w:sz="0" w:space="0" w:color="auto"/>
                                    <w:bottom w:val="none" w:sz="0" w:space="0" w:color="auto"/>
                                    <w:right w:val="none" w:sz="0" w:space="0" w:color="auto"/>
                                  </w:divBdr>
                                </w:div>
                                <w:div w:id="1243026709">
                                  <w:marLeft w:val="0"/>
                                  <w:marRight w:val="0"/>
                                  <w:marTop w:val="375"/>
                                  <w:marBottom w:val="150"/>
                                  <w:divBdr>
                                    <w:top w:val="none" w:sz="0" w:space="0" w:color="auto"/>
                                    <w:left w:val="none" w:sz="0" w:space="0" w:color="auto"/>
                                    <w:bottom w:val="none" w:sz="0" w:space="0" w:color="auto"/>
                                    <w:right w:val="none" w:sz="0" w:space="0" w:color="auto"/>
                                  </w:divBdr>
                                </w:div>
                                <w:div w:id="1628780735">
                                  <w:marLeft w:val="0"/>
                                  <w:marRight w:val="0"/>
                                  <w:marTop w:val="375"/>
                                  <w:marBottom w:val="150"/>
                                  <w:divBdr>
                                    <w:top w:val="none" w:sz="0" w:space="0" w:color="auto"/>
                                    <w:left w:val="none" w:sz="0" w:space="0" w:color="auto"/>
                                    <w:bottom w:val="none" w:sz="0" w:space="0" w:color="auto"/>
                                    <w:right w:val="none" w:sz="0" w:space="0" w:color="auto"/>
                                  </w:divBdr>
                                </w:div>
                                <w:div w:id="491222740">
                                  <w:marLeft w:val="0"/>
                                  <w:marRight w:val="0"/>
                                  <w:marTop w:val="375"/>
                                  <w:marBottom w:val="150"/>
                                  <w:divBdr>
                                    <w:top w:val="none" w:sz="0" w:space="0" w:color="auto"/>
                                    <w:left w:val="none" w:sz="0" w:space="0" w:color="auto"/>
                                    <w:bottom w:val="none" w:sz="0" w:space="0" w:color="auto"/>
                                    <w:right w:val="none" w:sz="0" w:space="0" w:color="auto"/>
                                  </w:divBdr>
                                </w:div>
                                <w:div w:id="1595941479">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moerkerken@uroweb.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EAU</cp:lastModifiedBy>
  <cp:revision>2</cp:revision>
  <cp:lastPrinted>2013-03-08T07:55:00Z</cp:lastPrinted>
  <dcterms:created xsi:type="dcterms:W3CDTF">2013-03-17T21:05:00Z</dcterms:created>
  <dcterms:modified xsi:type="dcterms:W3CDTF">2013-03-17T21:05:00Z</dcterms:modified>
</cp:coreProperties>
</file>